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1" w:rsidRDefault="00BB1041" w:rsidP="00BB1041">
      <w:pPr>
        <w:widowControl/>
        <w:tabs>
          <w:tab w:val="left" w:pos="10035"/>
        </w:tabs>
        <w:spacing w:before="100" w:beforeAutospacing="1" w:after="100" w:afterAutospacing="1" w:line="400" w:lineRule="exact"/>
        <w:ind w:firstLineChars="300" w:firstLine="723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OLE_LINK5"/>
      <w:bookmarkStart w:id="1" w:name="_GoBack"/>
      <w:r>
        <w:rPr>
          <w:rFonts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1：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考试（考核）的专业及课程名称</w:t>
      </w:r>
    </w:p>
    <w:tbl>
      <w:tblPr>
        <w:tblW w:w="844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819"/>
        <w:gridCol w:w="2844"/>
      </w:tblGrid>
      <w:tr w:rsidR="00BB1041" w:rsidRPr="00BB1041" w:rsidTr="009B07EC">
        <w:trPr>
          <w:tblHeader/>
          <w:tblCellSpacing w:w="0" w:type="dxa"/>
          <w:jc w:val="center"/>
        </w:trPr>
        <w:tc>
          <w:tcPr>
            <w:tcW w:w="4781" w:type="dxa"/>
            <w:vAlign w:val="center"/>
          </w:tcPr>
          <w:bookmarkEnd w:id="0"/>
          <w:bookmarkEnd w:id="1"/>
          <w:p w:rsidR="00BB1041" w:rsidRPr="00BB1041" w:rsidRDefault="00BB1041" w:rsidP="009B07EC">
            <w:pPr>
              <w:widowControl/>
              <w:tabs>
                <w:tab w:val="left" w:pos="10035"/>
              </w:tabs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BB1041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专业名称及代码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tabs>
                <w:tab w:val="left" w:pos="10035"/>
              </w:tabs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proofErr w:type="gramStart"/>
            <w:r w:rsidRPr="00BB1041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课码</w:t>
            </w:r>
            <w:proofErr w:type="gramEnd"/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tabs>
                <w:tab w:val="left" w:pos="10035"/>
              </w:tabs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BB1041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课 程 名 称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widowControl/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工程造价（专升本）120105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13649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工程项目管理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widowControl/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13651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工程项目评估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widowControl/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13280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安装工程技术计量与计价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工商管理（专升本）120201K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00052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管理系统中计算机应用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01465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项目管理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学前教育（专升本）040106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14606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幼儿园课程与教学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13214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学前教育研究方法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13148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幼儿园组织与管理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14604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幼儿游戏理论与指导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应用心理学（专升本）071102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07050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心理咨询原理与技术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14467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心理健康教育课程设计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15018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snapToGrid w:val="0"/>
              <w:jc w:val="left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应用心理学实践活动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BB104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网络工程（专升本）080903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13004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数据结构与算法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04738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C++程序设计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14342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网络工程原理与实践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03951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网络管理与维护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01351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网络应用程序开发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电气工程及其自动化（专升本）080601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04738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C++程序设计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14746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自动控制原理（本）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01645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单片机原理与接口技术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14412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现代电力电子技术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13454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电力系统分析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13456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电力系统断电保护（本）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13460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电力系统自动装置（本）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03805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发电厂电气部分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汉语言文学（专升本）050101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10165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汉语言文学毕业考核</w:t>
            </w:r>
          </w:p>
        </w:tc>
      </w:tr>
      <w:tr w:rsidR="00BB1041" w:rsidRPr="00BB1041" w:rsidTr="009B07EC">
        <w:trPr>
          <w:trHeight w:val="332"/>
          <w:tblCellSpacing w:w="0" w:type="dxa"/>
          <w:jc w:val="center"/>
        </w:trPr>
        <w:tc>
          <w:tcPr>
            <w:tcW w:w="4781" w:type="dxa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会展经济与管理（专升本）120903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08726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会展客户关系管理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 w:val="restart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机械电子工程（专升本）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02203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传感器与检测技术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02239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模拟、数字及电力电子技术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02201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现代设计方法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02206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微型计算机原理与接口技术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13179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计算机软件基础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02208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电气传动与可编程控制器（PLC）</w:t>
            </w:r>
          </w:p>
        </w:tc>
      </w:tr>
      <w:tr w:rsidR="00BB1041" w:rsidRPr="00BB1041" w:rsidTr="009B07EC">
        <w:trPr>
          <w:tblCellSpacing w:w="0" w:type="dxa"/>
          <w:jc w:val="center"/>
        </w:trPr>
        <w:tc>
          <w:tcPr>
            <w:tcW w:w="4781" w:type="dxa"/>
            <w:vMerge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14775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机电一体化系统设计</w:t>
            </w:r>
          </w:p>
        </w:tc>
      </w:tr>
      <w:tr w:rsidR="00BB1041" w:rsidRPr="00BB1041" w:rsidTr="009B07EC">
        <w:trPr>
          <w:trHeight w:val="232"/>
          <w:tblCellSpacing w:w="0" w:type="dxa"/>
          <w:jc w:val="center"/>
        </w:trPr>
        <w:tc>
          <w:tcPr>
            <w:tcW w:w="4781" w:type="dxa"/>
            <w:vAlign w:val="center"/>
          </w:tcPr>
          <w:p w:rsidR="00BB1041" w:rsidRPr="00BB1041" w:rsidRDefault="00BB1041" w:rsidP="009B07EC">
            <w:pPr>
              <w:tabs>
                <w:tab w:val="left" w:pos="10035"/>
              </w:tabs>
              <w:snapToGrid w:val="0"/>
              <w:jc w:val="center"/>
              <w:rPr>
                <w:rFonts w:ascii="等线" w:eastAsia="等线" w:hAnsi="宋体" w:cs="宋体"/>
                <w:bCs/>
                <w:color w:val="000000" w:themeColor="text1"/>
                <w:kern w:val="0"/>
                <w:sz w:val="22"/>
              </w:rPr>
            </w:pPr>
            <w:r w:rsidRPr="00BB1041">
              <w:rPr>
                <w:rFonts w:ascii="等线" w:eastAsia="等线" w:hAnsi="宋体" w:cs="宋体" w:hint="eastAsia"/>
                <w:bCs/>
                <w:color w:val="000000" w:themeColor="text1"/>
                <w:kern w:val="0"/>
                <w:sz w:val="22"/>
              </w:rPr>
              <w:t>财务管理（专升本）</w:t>
            </w:r>
          </w:p>
        </w:tc>
        <w:tc>
          <w:tcPr>
            <w:tcW w:w="819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13317</w:t>
            </w:r>
          </w:p>
        </w:tc>
        <w:tc>
          <w:tcPr>
            <w:tcW w:w="2844" w:type="dxa"/>
            <w:vAlign w:val="center"/>
          </w:tcPr>
          <w:p w:rsidR="00BB1041" w:rsidRPr="00BB1041" w:rsidRDefault="00BB1041" w:rsidP="009B07E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 w:themeColor="text1"/>
                <w:sz w:val="22"/>
                <w:szCs w:val="22"/>
              </w:rPr>
            </w:pPr>
            <w:r w:rsidRPr="00BB1041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财务分析</w:t>
            </w:r>
          </w:p>
        </w:tc>
      </w:tr>
    </w:tbl>
    <w:p w:rsidR="002C4AC6" w:rsidRDefault="002C4AC6"/>
    <w:sectPr w:rsidR="002C4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41"/>
    <w:rsid w:val="002C4AC6"/>
    <w:rsid w:val="00B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HP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2026-03-09T06:38:00Z</dcterms:created>
  <dcterms:modified xsi:type="dcterms:W3CDTF">2026-03-09T06:39:00Z</dcterms:modified>
</cp:coreProperties>
</file>